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139A99B" w:rsidR="001A53D6" w:rsidRPr="00C66E4D" w:rsidRDefault="00DA2163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DA2163">
              <w:rPr>
                <w:rFonts w:ascii="Times New Roman" w:hAnsi="Times New Roman" w:cs="Times New Roman"/>
                <w:b/>
                <w:color w:val="000000" w:themeColor="text1"/>
              </w:rPr>
              <w:t>JCVM-2989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6A5ADDB" w:rsidR="003069E0" w:rsidRPr="00C66E4D" w:rsidRDefault="00DA2163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A2163">
              <w:rPr>
                <w:rFonts w:ascii="Times New Roman" w:hAnsi="Times New Roman" w:cs="Times New Roman"/>
                <w:b/>
                <w:color w:val="000000" w:themeColor="text1"/>
              </w:rPr>
              <w:t>Kang Kevin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49591C4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41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proofErr w:type="spellStart"/>
            <w:r w:rsidR="00DA2163" w:rsidRPr="00DA2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Transfemoral</w:t>
            </w:r>
            <w:proofErr w:type="spellEnd"/>
            <w:r w:rsidR="00DA2163" w:rsidRPr="00DA2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carotid artery stenting has very low stroke, death and TIA incidence in hands of experienced interventional cardiologists as noted in the VQI registry data</w:t>
            </w:r>
          </w:p>
          <w:p w14:paraId="6DAFADD3" w14:textId="5594A837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11354" w:rsidRPr="00111354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DA2163" w:rsidRPr="00DA2163">
              <w:rPr>
                <w:rFonts w:ascii="Times New Roman" w:hAnsi="Times New Roman" w:cs="Times New Roman"/>
                <w:color w:val="000000" w:themeColor="text1"/>
              </w:rPr>
              <w:t xml:space="preserve">article provides valuable insights into the safety and efficacy of </w:t>
            </w:r>
            <w:proofErr w:type="spellStart"/>
            <w:r w:rsidR="00DA2163" w:rsidRPr="00DA2163">
              <w:rPr>
                <w:rFonts w:ascii="Times New Roman" w:hAnsi="Times New Roman" w:cs="Times New Roman"/>
                <w:color w:val="000000" w:themeColor="text1"/>
              </w:rPr>
              <w:t>transfemoral</w:t>
            </w:r>
            <w:proofErr w:type="spellEnd"/>
            <w:r w:rsidR="00DA2163" w:rsidRPr="00DA2163">
              <w:rPr>
                <w:rFonts w:ascii="Times New Roman" w:hAnsi="Times New Roman" w:cs="Times New Roman"/>
                <w:color w:val="000000" w:themeColor="text1"/>
              </w:rPr>
              <w:t xml:space="preserve"> carotid artery stenting (</w:t>
            </w:r>
            <w:proofErr w:type="spellStart"/>
            <w:r w:rsidR="00DA2163" w:rsidRPr="00DA2163">
              <w:rPr>
                <w:rFonts w:ascii="Times New Roman" w:hAnsi="Times New Roman" w:cs="Times New Roman"/>
                <w:color w:val="000000" w:themeColor="text1"/>
              </w:rPr>
              <w:t>tfCAS</w:t>
            </w:r>
            <w:proofErr w:type="spellEnd"/>
            <w:r w:rsidR="00DA2163" w:rsidRPr="00DA2163">
              <w:rPr>
                <w:rFonts w:ascii="Times New Roman" w:hAnsi="Times New Roman" w:cs="Times New Roman"/>
                <w:color w:val="000000" w:themeColor="text1"/>
              </w:rPr>
              <w:t>) when performed by experienced interventional cardiologists, demonstrating lower-than-expected rates of stroke, death, and TIA. However, the manuscript would benefit from a more concise presentation, clearer categorization of patient groups, and a deeper discussion of the study's limitations and broader clinical implications to enhance its impact and generalizability.</w:t>
            </w:r>
          </w:p>
          <w:p w14:paraId="1B08B80C" w14:textId="4E6D8C49" w:rsidR="00DA2163" w:rsidRDefault="00111354" w:rsidP="00DA21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DA2163"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is comprehensive, detailing the background, significance of the study, and the research gap. It clearly outlines the hypothesis regarding the safety and efficacy of </w:t>
            </w:r>
            <w:proofErr w:type="spellStart"/>
            <w:r w:rsidR="00DA2163"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tfCAS</w:t>
            </w:r>
            <w:proofErr w:type="spellEnd"/>
            <w:r w:rsidR="00DA2163"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when performed by experienced interventional cardiologists.</w:t>
            </w:r>
          </w:p>
          <w:p w14:paraId="5BABBAF6" w14:textId="6A5315A6" w:rsidR="00DA2163" w:rsidRDefault="00DA2163" w:rsidP="00DA21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Methods: - </w:t>
            </w:r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methods are </w:t>
            </w:r>
            <w:proofErr w:type="gramStart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well-detailed</w:t>
            </w:r>
            <w:proofErr w:type="gramEnd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with a thorough description of the study design, patient selection, data collection methods, and statistical analysis. The use of the VQI registry for prospective data collection adds credibility to the study's findings.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more clarity on how patients </w:t>
            </w:r>
            <w:proofErr w:type="gramStart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were categorized</w:t>
            </w:r>
            <w:proofErr w:type="gramEnd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as symptomatic, asymptomatic, or "other." The lack of clear categorization criteria for 259 patients is a potential limitation.</w:t>
            </w:r>
          </w:p>
          <w:p w14:paraId="10727226" w14:textId="345BD6E0" w:rsidR="00DA2163" w:rsidRDefault="00DA2163" w:rsidP="00DA21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results section is clear and concise, with appropriate use of figures and tables to present the data. The reported in-hospital stroke, death, and TIA rates are well below the accepted safety thresholds, supporting the study's hypothesis.</w:t>
            </w:r>
          </w:p>
          <w:p w14:paraId="4A2897FB" w14:textId="0D728C5A" w:rsidR="00DA2163" w:rsidRDefault="00DA2163" w:rsidP="00DA21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Discussion: - </w:t>
            </w:r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could benefit </w:t>
            </w:r>
            <w:proofErr w:type="gramStart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 more critical analysis of the study's limitations, such as its retrospective design, single-</w:t>
            </w:r>
            <w:proofErr w:type="spellStart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center</w:t>
            </w:r>
            <w:proofErr w:type="spellEnd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setting, and the lack of a control group</w:t>
            </w:r>
            <w:proofErr w:type="gramEnd"/>
            <w:r w:rsidRPr="00DA21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A more thorough discussion on how these limitations might affect the generalizability of the findings would be valuable.</w:t>
            </w:r>
          </w:p>
          <w:p w14:paraId="387941E6" w14:textId="38896001" w:rsidR="0049531E" w:rsidRPr="00C66E4D" w:rsidRDefault="00DE24E6" w:rsidP="00DA21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C14B3" w14:textId="77777777" w:rsidR="00ED29A7" w:rsidRDefault="00ED29A7" w:rsidP="00F65AB0">
      <w:pPr>
        <w:spacing w:after="0" w:line="240" w:lineRule="auto"/>
      </w:pPr>
      <w:r>
        <w:separator/>
      </w:r>
    </w:p>
  </w:endnote>
  <w:endnote w:type="continuationSeparator" w:id="0">
    <w:p w14:paraId="023E7914" w14:textId="77777777" w:rsidR="00ED29A7" w:rsidRDefault="00ED29A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0775" w14:textId="77777777" w:rsidR="00ED29A7" w:rsidRDefault="00ED29A7" w:rsidP="00F65AB0">
      <w:pPr>
        <w:spacing w:after="0" w:line="240" w:lineRule="auto"/>
      </w:pPr>
      <w:r>
        <w:separator/>
      </w:r>
    </w:p>
  </w:footnote>
  <w:footnote w:type="continuationSeparator" w:id="0">
    <w:p w14:paraId="761D4C69" w14:textId="77777777" w:rsidR="00ED29A7" w:rsidRDefault="00ED29A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5"/>
  </w:num>
  <w:num w:numId="5">
    <w:abstractNumId w:val="9"/>
  </w:num>
  <w:num w:numId="6">
    <w:abstractNumId w:val="11"/>
  </w:num>
  <w:num w:numId="7">
    <w:abstractNumId w:val="16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5"/>
  </w:num>
  <w:num w:numId="13">
    <w:abstractNumId w:val="14"/>
  </w:num>
  <w:num w:numId="14">
    <w:abstractNumId w:val="2"/>
  </w:num>
  <w:num w:numId="15">
    <w:abstractNumId w:val="10"/>
  </w:num>
  <w:num w:numId="16">
    <w:abstractNumId w:val="12"/>
  </w:num>
  <w:num w:numId="17">
    <w:abstractNumId w:val="4"/>
  </w:num>
  <w:num w:numId="18">
    <w:abstractNumId w:val="19"/>
  </w:num>
  <w:num w:numId="19">
    <w:abstractNumId w:val="8"/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2163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29A7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9E6A5-7A76-436E-87F2-A8972613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2024-09-03T05:50:00Z</dcterms:created>
  <dcterms:modified xsi:type="dcterms:W3CDTF">2024-09-03T05:50:00Z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